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F4" w:rsidRPr="007A66F4" w:rsidRDefault="007A66F4" w:rsidP="007A66F4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sz w:val="32"/>
          <w:szCs w:val="24"/>
          <w:lang w:eastAsia="en-GB"/>
        </w:rPr>
        <w:t>ASKING PROBING QUESTIONS</w:t>
      </w:r>
      <w:r w:rsidRPr="007A66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A66F4" w:rsidRPr="007A66F4" w:rsidRDefault="007A66F4" w:rsidP="007A66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The probing techniques outlined below can be used in any situation where student participation is necessary to realise the goals of the lesson.  A given technique, of course, may be appropriate in one situation but not in another.</w:t>
      </w:r>
    </w:p>
    <w:p w:rsidR="007A66F4" w:rsidRPr="007A66F4" w:rsidRDefault="007A66F4" w:rsidP="007A66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 xml:space="preserve">The teacher seeks clarification.  S/he may </w:t>
      </w:r>
      <w:r w:rsidRPr="007A66F4"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en-GB"/>
        </w:rPr>
        <w:t>ask the student for more clarification or information</w:t>
      </w:r>
      <w:r w:rsidRPr="007A66F4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>, e.g. by saying:</w:t>
      </w:r>
    </w:p>
    <w:p w:rsidR="007A66F4" w:rsidRPr="007A66F4" w:rsidRDefault="007A66F4" w:rsidP="007A66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“What, exactly, do you mean?”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“Please rephrase that statement.”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</w:t>
      </w:r>
      <w:proofErr w:type="gramStart"/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Could you elaborate on that point?”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</w:t>
      </w:r>
      <w:proofErr w:type="gramEnd"/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What do you mean by the term…?”</w:t>
      </w:r>
    </w:p>
    <w:p w:rsidR="007A66F4" w:rsidRPr="007A66F4" w:rsidRDefault="007A66F4" w:rsidP="007A66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>The teacher seeks to increase the student’s critical awareness.  S/he wants the student to</w:t>
      </w:r>
      <w:r w:rsidRPr="007A66F4"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en-GB"/>
        </w:rPr>
        <w:t xml:space="preserve"> justify her/his response</w:t>
      </w:r>
      <w:r w:rsidRPr="007A66F4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>.</w:t>
      </w:r>
    </w:p>
    <w:p w:rsidR="007A66F4" w:rsidRPr="007A66F4" w:rsidRDefault="007A66F4" w:rsidP="007A66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“What are you assuming?”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“What are your reasons for thinking that is so?”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“Is there more to it?”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“How would an opponent of this view respond?”</w:t>
      </w:r>
    </w:p>
    <w:p w:rsidR="007A66F4" w:rsidRPr="007A66F4" w:rsidRDefault="007A66F4" w:rsidP="007A66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 xml:space="preserve">The teacher </w:t>
      </w:r>
      <w:r w:rsidRPr="007A66F4"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en-GB"/>
        </w:rPr>
        <w:t>refocuses the response</w:t>
      </w:r>
      <w:r w:rsidRPr="007A66F4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>.  If a student has given a satisfactory response, it might seem unnecessary to probe it.  However, the teacher could use this opportunity to refocus on a related issue.</w:t>
      </w:r>
    </w:p>
    <w:p w:rsidR="007A66F4" w:rsidRPr="007A66F4" w:rsidRDefault="007A66F4" w:rsidP="007A66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“If this is true, what are the implications for…?”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</w:t>
      </w:r>
      <w:proofErr w:type="gramStart"/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How does Jonathan’s answer relate to…?”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</w:t>
      </w:r>
      <w:proofErr w:type="gramEnd"/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Can you relate this to…?”</w:t>
      </w: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br/>
        <w:t>“Let’s analyse that answer/comment.”</w:t>
      </w:r>
    </w:p>
    <w:p w:rsidR="007A66F4" w:rsidRPr="007A66F4" w:rsidRDefault="007A66F4" w:rsidP="007A66F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i/>
          <w:iCs/>
          <w:sz w:val="24"/>
          <w:szCs w:val="24"/>
          <w:lang w:eastAsia="en-GB"/>
        </w:rPr>
        <w:t>These techniques have two main characteristics in common:</w:t>
      </w:r>
    </w:p>
    <w:p w:rsidR="007A66F4" w:rsidRPr="007A66F4" w:rsidRDefault="007A66F4" w:rsidP="007A66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They are initiated by the teacher immediately after the student has responded.</w:t>
      </w:r>
    </w:p>
    <w:p w:rsidR="007A66F4" w:rsidRPr="007A66F4" w:rsidRDefault="007A66F4" w:rsidP="007A66F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66F4">
        <w:rPr>
          <w:rFonts w:ascii="Arial" w:eastAsia="Times New Roman" w:hAnsi="Arial" w:cs="Times New Roman"/>
          <w:sz w:val="24"/>
          <w:szCs w:val="24"/>
          <w:lang w:eastAsia="en-GB"/>
        </w:rPr>
        <w:t>They require the student to think beyond her/his initial response.</w:t>
      </w:r>
    </w:p>
    <w:p w:rsidR="00C96831" w:rsidRDefault="00C96831">
      <w:bookmarkStart w:id="0" w:name="_GoBack"/>
      <w:bookmarkEnd w:id="0"/>
    </w:p>
    <w:sectPr w:rsidR="00C96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6546"/>
    <w:multiLevelType w:val="multilevel"/>
    <w:tmpl w:val="E02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F4"/>
    <w:rsid w:val="007A66F4"/>
    <w:rsid w:val="00C96831"/>
    <w:rsid w:val="00F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Aitken</dc:creator>
  <cp:lastModifiedBy>Debbie Aitken</cp:lastModifiedBy>
  <cp:revision>1</cp:revision>
  <dcterms:created xsi:type="dcterms:W3CDTF">2012-02-06T17:43:00Z</dcterms:created>
  <dcterms:modified xsi:type="dcterms:W3CDTF">2012-02-06T17:45:00Z</dcterms:modified>
</cp:coreProperties>
</file>